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0" w:before="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Analiză SWOT </w:t>
      </w:r>
    </w:p>
    <w:p w:rsidR="00000000" w:rsidDel="00000000" w:rsidP="00000000" w:rsidRDefault="00000000" w:rsidRPr="00000000" w14:paraId="00000002">
      <w:pPr>
        <w:keepNext w:val="0"/>
        <w:keepLines w:val="0"/>
        <w:spacing w:after="0" w:before="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(Forţe, Slăbiciuni, Oportunităţi, Ameninţări)</w:t>
      </w:r>
    </w:p>
    <w:p w:rsidR="00000000" w:rsidDel="00000000" w:rsidP="00000000" w:rsidRDefault="00000000" w:rsidRPr="00000000" w14:paraId="00000003">
      <w:pPr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Structură:</w:t>
      </w:r>
    </w:p>
    <w:p w:rsidR="00000000" w:rsidDel="00000000" w:rsidP="00000000" w:rsidRDefault="00000000" w:rsidRPr="00000000" w14:paraId="00000005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Context &amp; Obiectiv (pentru ce faci analiza):</w:t>
      </w:r>
    </w:p>
    <w:p w:rsidR="00000000" w:rsidDel="00000000" w:rsidP="00000000" w:rsidRDefault="00000000" w:rsidRPr="00000000" w14:paraId="00000006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Cine participă la analiză:</w:t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Periodă analiză: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Paşi pentru a realiza analiza SWOT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Defineşte clar obiectivul analizei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Poate fi: întreaga organizaţie, un program / proiect, o schimbare strategică, dezvoltare / extindere etc.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Analiză internă — puncte forte şi puncte slabe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Puncte forte (Strengths):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ce face organizaţia bine, ce resurse are — competenţe, echipă, reputaţie, experienţă, reţeua de parteneri, know-how, resurse financiare, structuri funcţionale, valori solide, angajament etc.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Puncte slabe (Weaknesses):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ce lipseşte sau ce limitează performanţa — resurse limitate, lipsă de capacităţi, procedural, lipsă de transparenţă, vulnerabilităţi financiare, absenţa unor procese clare etc.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Analiză externă — oportunităţi şi ameninţări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Oportunităţi (Opportunities):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factori externi care pot sprijini organizaţia — noi finanţări, schimbări de context favorabile, nevoi sociale, colaborări, parteneriate, tehnologii, politici publice favorabile, sprijin comunitar etc.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Ameninţări (Threats):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riscuri externe — instabilitate politică/economică, schimbări legislative nefavorabile, competiţie, scăderea interesului comunitar, resurse diminuate, schimbări sociale, risc reputaţional etc.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Prioritizare / selecţie factorilor cheie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Din lista extinsă de factori, selectează cei mai relevanţi &amp; cu impact major. Nu toate elementele sunt la fel de importante — concentrează-te pe ce poate influenţa semnificativ misiunea / strategia.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Analiză calitativă &amp; concluzii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Pentru fiecare categorie (S, W, O, T) scrie concluzii: ce relevanţă are pentru organizaţie, ce acţiuni ar trebui întreprinse pentru a valorifica / atenua.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Identifică strategii care valorifică punctele forte + oportunităţi; corectează slăbiciţile; previi sau atenuezi ameninţările.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Integrare în plan strategic / operaţional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Foloseşte rezultatele SWOT ca bază pentru definirea obiectivelor, direcţiilor strategice, priorităţilor, planurilor de acţiune.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Leaga puncte din SWOT cu oportunităţi / riscuri identificate prin PESTLE — astfel strategia devine adaptată la realitatea externă şi internă.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Actualizare &amp; revizuire periodică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Mediul intern şi extern evoluează — revizuieşte SWOT (şi PESTLE) periodic (ex: anual, la schimbări majore). Astfel rămâi relevant, agil, adaptabil.</w:t>
      </w:r>
    </w:p>
    <w:p w:rsidR="00000000" w:rsidDel="00000000" w:rsidP="00000000" w:rsidRDefault="00000000" w:rsidRPr="00000000" w14:paraId="0000001C">
      <w:pPr>
        <w:spacing w:after="0" w:before="0" w:line="36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</w:rPr>
        <w:sectPr>
          <w:headerReference r:id="rId7" w:type="default"/>
          <w:footerReference r:id="rId8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6114237"/>
        <w:tag w:val="goog_rdk_0"/>
      </w:sdtPr>
      <w:sdtContent>
        <w:tbl>
          <w:tblPr>
            <w:tblStyle w:val="Table1"/>
            <w:tblW w:w="13954.0" w:type="dxa"/>
            <w:jc w:val="left"/>
            <w:tbl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  <w:insideH w:color="666666" w:space="0" w:sz="6" w:val="single"/>
              <w:insideV w:color="666666" w:space="0" w:sz="6" w:val="single"/>
            </w:tblBorders>
            <w:tblLayout w:type="fixed"/>
            <w:tblLook w:val="0600"/>
          </w:tblPr>
          <w:tblGrid>
            <w:gridCol w:w="6977"/>
            <w:gridCol w:w="6977"/>
            <w:tblGridChange w:id="0">
              <w:tblGrid>
                <w:gridCol w:w="6977"/>
                <w:gridCol w:w="69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Forţe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(intern)</w:t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Slăbiciuni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(intern)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Oportunităţi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(extern — context, mediu, finanţare, parteneriate etc.)</w:t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Ameninţări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(extern)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Implicaţii / concluzii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– ce reiese din analiză</w:t>
                </w:r>
              </w:p>
            </w:tc>
            <w:tc>
              <w:tcPr>
                <w:shd w:fill="c9daf8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spacing w:line="360" w:lineRule="auto"/>
                  <w:ind w:left="0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Recomandări strategice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(pe baza concluziilor)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360" w:lineRule="auto"/>
        <w:jc w:val="both"/>
        <w:rPr>
          <w:rFonts w:ascii="Calibri" w:cs="Calibri" w:eastAsia="Calibri" w:hAnsi="Calibri"/>
        </w:rPr>
        <w:sectPr>
          <w:type w:val="nextPage"/>
          <w:pgSz w:h="11909" w:w="16834" w:orient="landscape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Referințe:</w:t>
      </w:r>
    </w:p>
    <w:p w:rsidR="00000000" w:rsidDel="00000000" w:rsidP="00000000" w:rsidRDefault="00000000" w:rsidRPr="00000000" w14:paraId="00000039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https://www.investopedia.com/terms/s/swot.asp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https://quantive.com/resources/articles/swot-analysis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https://www.nibusinessinfo.co.uk/content/swot-pestle-and-other-models-strategic-analysis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https://www.bdc.ca/en/articles-tools/business-strategy-planning/define-strategy/swot-analysis-easy-tool-strategic-planning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spacing w:after="200" w:lineRule="auto"/>
      <w:jc w:val="right"/>
      <w:rPr/>
    </w:pPr>
    <w:r w:rsidDel="00000000" w:rsidR="00000000" w:rsidRPr="00000000">
      <w:rPr>
        <w:rFonts w:ascii="Cambria" w:cs="Cambria" w:eastAsia="Cambria" w:hAnsi="Cambria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after="200" w:lineRule="auto"/>
      <w:rPr/>
    </w:pPr>
    <w:r w:rsidDel="00000000" w:rsidR="00000000" w:rsidRPr="00000000">
      <w:rPr>
        <w:rFonts w:ascii="Cambria" w:cs="Cambria" w:eastAsia="Cambria" w:hAnsi="Cambria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nibusinessinfo.co.uk/content/swot-pestle-and-other-models-strategic-analysis?utm_source=chatgpt.com" TargetMode="External"/><Relationship Id="rId10" Type="http://schemas.openxmlformats.org/officeDocument/2006/relationships/hyperlink" Target="https://quantive.com/resources/articles/swot-analysis?utm_source=chatgpt.com" TargetMode="External"/><Relationship Id="rId12" Type="http://schemas.openxmlformats.org/officeDocument/2006/relationships/hyperlink" Target="https://www.bdc.ca/en/articles-tools/business-strategy-planning/define-strategy/swot-analysis-easy-tool-strategic-planning?utm_source=chatgpt.com" TargetMode="External"/><Relationship Id="rId9" Type="http://schemas.openxmlformats.org/officeDocument/2006/relationships/hyperlink" Target="https://www.investopedia.com/terms/s/swot.asp?utm_source=chatgpt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wwxFDHYzhK/tfsIvD9SzYC1a3Q==">CgMxLjAaHwoBMBIaChgICVIUChJ0YWJsZS56NDdoOThqc3l5N3k4AHIhMUlKZ0xId3lhOFF1ZTkzYjZFQ1k4bFpTUjJfQVlIZWFo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