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after="0" w:before="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ANALIZA PESTLE</w:t>
      </w:r>
    </w:p>
    <w:p w:rsidR="00000000" w:rsidDel="00000000" w:rsidP="00000000" w:rsidRDefault="00000000" w:rsidRPr="00000000" w14:paraId="00000002">
      <w:pPr>
        <w:keepNext w:val="0"/>
        <w:keepLines w:val="0"/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Instrucţiuni de completare</w:t>
      </w:r>
    </w:p>
    <w:p w:rsidR="00000000" w:rsidDel="00000000" w:rsidP="00000000" w:rsidRDefault="00000000" w:rsidRPr="00000000" w14:paraId="00000004">
      <w:pPr>
        <w:keepNext w:val="0"/>
        <w:keepLines w:val="0"/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Completează câte rânduri consideri relevante pentru fiecare categorie.</w:t>
      </w:r>
    </w:p>
    <w:p w:rsidR="00000000" w:rsidDel="00000000" w:rsidP="00000000" w:rsidRDefault="00000000" w:rsidRPr="00000000" w14:paraId="00000005">
      <w:pPr>
        <w:keepNext w:val="0"/>
        <w:keepLines w:val="0"/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Marchează dacă fiecare factor este o oportunitate (O) sau o ameninţare (T) pentru organizaţie / proiect.</w:t>
      </w:r>
    </w:p>
    <w:p w:rsidR="00000000" w:rsidDel="00000000" w:rsidP="00000000" w:rsidRDefault="00000000" w:rsidRPr="00000000" w14:paraId="00000006">
      <w:pPr>
        <w:keepNext w:val="0"/>
        <w:keepLines w:val="0"/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Dacă e posibil: notează impact estimat (ex: „ridicat / mediu / scăzut”) şi probabilitate / trend (ex: „stabil / crescător / incert”).</w:t>
      </w:r>
    </w:p>
    <w:p w:rsidR="00000000" w:rsidDel="00000000" w:rsidP="00000000" w:rsidRDefault="00000000" w:rsidRPr="00000000" w14:paraId="00000007">
      <w:pPr>
        <w:keepNext w:val="0"/>
        <w:keepLines w:val="0"/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final, formulează concluzii strategice şi recomandări pe baza observaţiilor.</w:t>
      </w:r>
    </w:p>
    <w:p w:rsidR="00000000" w:rsidDel="00000000" w:rsidP="00000000" w:rsidRDefault="00000000" w:rsidRPr="00000000" w14:paraId="00000008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Paşi pentru a realiza analiza PESTLE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Defineşte contextul &amp; perioada de analiză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Care este organizaţia / proiectul / domeniul analizat.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ce moment sau pentru ce orizont temporal faci analiza (pre-planificare strategică, reevaluare, context extern schimbat etc.).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360" w:lineRule="auto"/>
        <w:ind w:left="72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Creează structură pe factorii PESTLE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pentru fiecare categorie — P, E, S, T, L, 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Identifică factorii relevanţi pentru fiecare categorie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Politic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stabilitate politică, politici publice, legislaţie, finanţări publice, reglementări privind societatea civilă, politici sociale, impozite, politici fiscale, legislaţie ONG-uri etc.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Economic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situaţie macro-economică, inflaţie, finanţări disponibile (naţionale / europene), nivel de trai, veniturile populaţiei, tendinţe economice, resurse financiare, oportunităţi de granturi / finanţări etc.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Social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demografie, nivel educaţie, valori / cultura civică, mobilizare comunitară, implicare cetăţenească, nevoi sociale, atitudini faţă de ONG, grad de informare, incluziune, schimbări sociale.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Tehnologic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acces la tehnologie / digitalizare, infrastructură IT, instrumente de comunicare / colaborare online, tehnologii emergente, adaptabilitate la inovaţii, comunicare online, instrumente de monitorizare, raportare, transparenţă digitală. (Adaptare la sectorul non-profit)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Legal (Juridic / Reglementări)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legislaţie privind ONG-urile, reglementări fiscale, proceduri de înregistrare, transparenţă, raportare, reglementări privind granturi, protecţie date, drepturi civile, politici sociale, cerinţe legale pentru finanţare etc. 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before="0" w:line="360" w:lineRule="auto"/>
        <w:ind w:left="1440" w:hanging="360"/>
        <w:jc w:val="both"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Environmental (de mediu / context extern larg, mediu local / global)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schimbări climatice, politici de mediu, sustenabilitate, tendinţe privind protecţia mediului, responsablitate socială, oportunităţi / riscuri legate de mediu, sustenabilitate – pot influenţa proiecte, finanţări, priorităţi.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Evaluare &amp; descriere detaliată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Pentru fiecare factor, descrie ce presupune concret: de ex. „schimbare legislativă X → impact posibil asupra granturilor”, „creştere interes civic youth / tineri → oportunitate pentru proiecte de youth empowerment” etc.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Dacă se poate, notează probabilitatea / trendul (ex: gradual / abrupt / incert), gravitatea / potenţialul impact.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Concluzii &amp; implicaţii strategice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 factori externi par cei mai relevanţi pentru organizaţie / proiect.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 riscuri merită monitorizate / gestionate.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 oportunităţi externe pot fi valorificate — de ex. schimbări sociale, finanţări, tehnologii, politici favorabile.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Recomandări: ce să includă planul strategic / operaţional pentru a valorifica / atenua aceşti factori.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Actualizare periodică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before="0" w:line="36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Mediul extern se schimbă — repetă analiza PESTLE la intervale regulate (ex: anual, la schimbări legislative, economice, sociale etc.) pentru a menţine relevanţa strategiei. </w:t>
      </w:r>
    </w:p>
    <w:p w:rsidR="00000000" w:rsidDel="00000000" w:rsidP="00000000" w:rsidRDefault="00000000" w:rsidRPr="00000000" w14:paraId="0000001F">
      <w:pPr>
        <w:keepNext w:val="0"/>
        <w:keepLines w:val="0"/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spacing w:after="0" w:before="0" w:line="360" w:lineRule="auto"/>
        <w:jc w:val="both"/>
        <w:rPr>
          <w:rFonts w:ascii="Calibri" w:cs="Calibri" w:eastAsia="Calibri" w:hAnsi="Calibri"/>
        </w:rPr>
        <w:sectPr>
          <w:headerReference r:id="rId7" w:type="default"/>
          <w:footerReference r:id="rId8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 jos regăsești un tabel pe care îl poți utiliza în realizarea analizei.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Tabel analiza PESTLE</w:t>
      </w:r>
    </w:p>
    <w:p w:rsidR="00000000" w:rsidDel="00000000" w:rsidP="00000000" w:rsidRDefault="00000000" w:rsidRPr="00000000" w14:paraId="00000022">
      <w:pPr>
        <w:keepNext w:val="0"/>
        <w:keepLines w:val="0"/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25.0" w:type="dxa"/>
        <w:jc w:val="left"/>
        <w:tblLayout w:type="fixed"/>
        <w:tblLook w:val="0600"/>
      </w:tblPr>
      <w:tblGrid>
        <w:gridCol w:w="1695"/>
        <w:gridCol w:w="3795"/>
        <w:gridCol w:w="1740"/>
        <w:gridCol w:w="3750"/>
        <w:gridCol w:w="2745"/>
        <w:tblGridChange w:id="0">
          <w:tblGrid>
            <w:gridCol w:w="1695"/>
            <w:gridCol w:w="3795"/>
            <w:gridCol w:w="1740"/>
            <w:gridCol w:w="3750"/>
            <w:gridCol w:w="2745"/>
          </w:tblGrid>
        </w:tblGridChange>
      </w:tblGrid>
      <w:tr>
        <w:trPr>
          <w:cantSplit w:val="0"/>
          <w:trHeight w:val="1580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Categorie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Factor / Tendinţă externă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Oportunitate (O) / Ameninţare (T)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Impact estimat (ridicat / mediu / scăzut)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Comentarii / Observaţii / Relevanţă pentru ONG / Proiect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restart"/>
            <w:tcBorders>
              <w:top w:color="999999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Politic (P)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Stabilitate politică / guvernare / politici publice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999999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Legislaţie privind ONG-uri / societăţi civile / finanţări publice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999999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Politici fiscale, impozite, taxe, reglementări economice / sociale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999999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Sprijin public, granturi / subvenţii / programe guvernamentale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999999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Politică externă, relaţii internaţionale / UE / parteneriate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tcBorders>
              <w:top w:color="999999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 alte factori politici relevanţi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restart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Economic (E)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Situaţia economică generală / creştere / recesiune / inflaţie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Disponibilitate de finanţări private / publice / granturi / donaţii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Nivel de trai, putere de cumpărare, venituri comunităţi țintă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 la resurse financiare, costuri, cheltuieli (operare, salarii, logistică)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Stabilitate economică, riscuri macroeconomice / fluctuaţii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 alţi factori economici relevanţi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restart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Social (S)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Demografie, structura populaţiei, schimbări demografice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Nivel educaţie, competenţe, formare, capital uman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Atitudini sociale, valori, cultură civică, implicare comunitară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Nevoi / probleme sociale relevante pentru misiunea ONG-ului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Nivel de informare, conştientizare publică, deschidere către teme sociale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Mobilitate socială, migraţie, schimbări comunitare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 alţi factori sociali relevanţi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restart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Tehnologic (T)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 la tehnologie / infrastructură IT / digitalizare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Tendinţe tehnologice relevante pentru activitatea ONG-ului (digitalizare, comunicare, lucru remote etc.)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Inovaţii, instrumente de colaborare / monitorizare / comunicare / proiecte online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Acces la informaţie, reţele sociale, media digitală, vizibilitate online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Riscuri legate de tehnologie (ex: excluziune digitală, lipsă de acces, securitate)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 alţi factori tehnologici relevanţi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restart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Legal / Juridic (L)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Cadru legal privind ONG-uri / societăţi civile / asociaţii / fundaţii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Reglementări fiscale, de contabilitate, raportare, transparenţă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Legislaţii privind finanţări, granturi, contracte, parteneriate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Reglementări legate de protecţia datelor, drepturi civile, non-discriminare, incluziune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Schimbări legislative anticipate / proiecte de lege / modificări normative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 alţi factori legali relevanţi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restart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 mediu / Ecologic (E)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Politici / reglementări de mediu, sustenabilitate, mediu (local / global)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Schimbări climatice, mediu natural, risc de mediu în comunităţi / zone de intervenţie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Conştientizare ecologică, responsabilitate socială / de mediu, valori comunitare legate de mediu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Resurse naturale, sustenabilitate, infrastructură ecologică, acces la resurse locale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Riscuri de mediu care pot afecta proiectele / activităţile (natural disasters, poluare, reglementări stricte)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spacing w:after="0" w:before="0"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 alţi factori de mediu relevanţi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spacing w:after="0" w:before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/ T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spacing w:after="0" w:before="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Referinte:</w:t>
      </w:r>
    </w:p>
    <w:p w:rsidR="00000000" w:rsidDel="00000000" w:rsidP="00000000" w:rsidRDefault="00000000" w:rsidRPr="00000000" w14:paraId="000000E4">
      <w:pPr>
        <w:spacing w:after="0" w:before="0" w:line="360" w:lineRule="auto"/>
        <w:jc w:val="both"/>
        <w:rPr>
          <w:rFonts w:ascii="Calibri" w:cs="Calibri" w:eastAsia="Calibri" w:hAnsi="Calibri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https://blog.oxfordcollegeofmarketing.com/2016/06/30/pestel-analysis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before="0" w:line="360" w:lineRule="auto"/>
        <w:jc w:val="both"/>
        <w:rPr>
          <w:rFonts w:ascii="Calibri" w:cs="Calibri" w:eastAsia="Calibri" w:hAnsi="Calibri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https://www.cipd.org/en/knowledge/factsheets/pestle-analysis-factsheet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before="0" w:line="360" w:lineRule="auto"/>
        <w:jc w:val="both"/>
        <w:rPr>
          <w:rFonts w:ascii="Calibri" w:cs="Calibri" w:eastAsia="Calibri" w:hAnsi="Calibri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https://www.splunk.com/en_us/blog/learn/swot-vs-pestel.html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spacing w:after="200" w:lineRule="auto"/>
      <w:jc w:val="right"/>
      <w:rPr/>
    </w:pPr>
    <w:r w:rsidDel="00000000" w:rsidR="00000000" w:rsidRPr="00000000">
      <w:rPr>
        <w:rFonts w:ascii="Cambria" w:cs="Cambria" w:eastAsia="Cambria" w:hAnsi="Cambria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spacing w:after="200" w:lineRule="auto"/>
      <w:rPr/>
    </w:pPr>
    <w:r w:rsidDel="00000000" w:rsidR="00000000" w:rsidRPr="00000000">
      <w:rPr>
        <w:rFonts w:ascii="Cambria" w:cs="Cambria" w:eastAsia="Cambria" w:hAnsi="Cambria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splunk.com/en_us/blog/learn/swot-vs-pestel.html?utm_source=chatgpt.com" TargetMode="External"/><Relationship Id="rId10" Type="http://schemas.openxmlformats.org/officeDocument/2006/relationships/hyperlink" Target="https://www.cipd.org/en/knowledge/factsheets/pestle-analysis-factsheet/?utm_source=chatgpt.com" TargetMode="External"/><Relationship Id="rId9" Type="http://schemas.openxmlformats.org/officeDocument/2006/relationships/hyperlink" Target="https://blog.oxfordcollegeofmarketing.com/2016/06/30/pestel-analysis/?utm_source=chatgpt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uoeHOkKc559FbDzibDJY/eK9Q==">CgMxLjA4AHIhMV9FRjdFclQyRnpHS0JJNmdPbXVGdm92QkFiaF9neU5E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